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537803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</w:t>
            </w:r>
            <w:r w:rsidR="0053780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37803">
              <w:rPr>
                <w:b/>
              </w:rPr>
              <w:t>Abaque</w:t>
            </w:r>
            <w:r>
              <w:rPr>
                <w:b/>
              </w:rPr>
              <w:t xml:space="preserve"> </w:t>
            </w:r>
          </w:p>
        </w:tc>
      </w:tr>
      <w:tr w:rsidR="005E45FC" w:rsidTr="00ED1A15">
        <w:tc>
          <w:tcPr>
            <w:tcW w:w="10916" w:type="dxa"/>
          </w:tcPr>
          <w:p w:rsidR="00544DE6" w:rsidRPr="00544DE6" w:rsidRDefault="00544DE6" w:rsidP="004C51A1">
            <w:pPr>
              <w:rPr>
                <w:b/>
              </w:rPr>
            </w:pPr>
            <w:r>
              <w:rPr>
                <w:b/>
              </w:rPr>
              <w:t>Une histoire de cailloux…</w:t>
            </w:r>
          </w:p>
          <w:p w:rsidR="00544DE6" w:rsidRDefault="00544DE6" w:rsidP="004C51A1"/>
          <w:p w:rsidR="004C51A1" w:rsidRDefault="006A4C67" w:rsidP="004C51A1">
            <w:r w:rsidRPr="006A4C67">
              <w:t>Le mot</w:t>
            </w:r>
            <w:r w:rsidR="004C51A1">
              <w:t> « </w:t>
            </w:r>
            <w:r w:rsidRPr="006A4C67">
              <w:t>calcul</w:t>
            </w:r>
            <w:r w:rsidR="004C51A1">
              <w:t xml:space="preserve"> » </w:t>
            </w:r>
            <w:r w:rsidRPr="006A4C67">
              <w:t xml:space="preserve">dérive du mot latin </w:t>
            </w:r>
            <w:proofErr w:type="spellStart"/>
            <w:r w:rsidRPr="004C51A1">
              <w:rPr>
                <w:i/>
              </w:rPr>
              <w:t>calculus</w:t>
            </w:r>
            <w:proofErr w:type="spellEnd"/>
            <w:r w:rsidRPr="006A4C67">
              <w:t xml:space="preserve"> qui signifie </w:t>
            </w:r>
            <w:r w:rsidR="004C51A1">
              <w:t>« petit caillou »</w:t>
            </w:r>
            <w:r w:rsidRPr="006A4C67">
              <w:t xml:space="preserve">. Ces petits cailloux </w:t>
            </w:r>
            <w:r w:rsidR="004C51A1">
              <w:t>servaient</w:t>
            </w:r>
            <w:r w:rsidRPr="006A4C67">
              <w:t xml:space="preserve"> à l'origine pour symboliser des personnes, des animaux ou des mesures de grains</w:t>
            </w:r>
            <w:r w:rsidR="004C51A1">
              <w:t>. On a retrouvé des traces de cette façon de compter datant de plu</w:t>
            </w:r>
            <w:bookmarkStart w:id="0" w:name="_GoBack"/>
            <w:bookmarkEnd w:id="0"/>
            <w:r w:rsidR="004C51A1">
              <w:t>s de 5 000 ans.</w:t>
            </w:r>
          </w:p>
          <w:p w:rsidR="004C51A1" w:rsidRDefault="004C51A1" w:rsidP="004C51A1"/>
          <w:p w:rsidR="006A4C67" w:rsidRDefault="006A4C67" w:rsidP="006A4C67">
            <w:r>
              <w:t>En Abyssinie (ancien nom de l’Éthiopie) par exemple, il était d’usage pour les guerriers partant au combat de déposer un caillou sur un tas</w:t>
            </w:r>
            <w:r w:rsidR="00032B7E">
              <w:t>. De retour du champ de bataille, chaque guerrier reprenait un caillou.</w:t>
            </w:r>
            <w:r>
              <w:t xml:space="preserve"> Le nombre de cailloux non retirés permettait de déterminer le nombre de morts au combat. </w:t>
            </w:r>
          </w:p>
          <w:p w:rsidR="00544DE6" w:rsidRDefault="00544DE6" w:rsidP="006A4C67"/>
          <w:p w:rsidR="00F167DE" w:rsidRDefault="00544DE6" w:rsidP="006A4C67">
            <w:r>
              <w:t xml:space="preserve">Les Romains utilisaient </w:t>
            </w:r>
            <w:r w:rsidR="00F167DE">
              <w:t xml:space="preserve">aussi les cailloux qu’ils plaçaient </w:t>
            </w:r>
            <w:r w:rsidR="00C50A98">
              <w:t>sur</w:t>
            </w:r>
            <w:r w:rsidR="00F167DE">
              <w:t xml:space="preserve"> une table (Abaque) </w:t>
            </w:r>
            <w:r w:rsidR="00F82471">
              <w:t>comme dans l’exemple suivant :</w:t>
            </w:r>
          </w:p>
          <w:p w:rsidR="00F167DE" w:rsidRDefault="00F82471" w:rsidP="006A4C67">
            <w:r>
              <w:rPr>
                <w:noProof/>
                <w:lang w:eastAsia="fr-FR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170180</wp:posOffset>
                  </wp:positionV>
                  <wp:extent cx="1278890" cy="1541780"/>
                  <wp:effectExtent l="19050" t="0" r="0" b="0"/>
                  <wp:wrapSquare wrapText="bothSides"/>
                  <wp:docPr id="2" name="Image 2" descr="http://www.icem-pedagogie-freinet.org/sites/default/files/images/BT1138_calcul_romai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cem-pedagogie-freinet.org/sites/default/files/images/BT1138_calcul_romai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2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154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4C67" w:rsidRDefault="00544DE6" w:rsidP="00F82471">
            <w:r>
              <w:t xml:space="preserve">Pour </w:t>
            </w:r>
            <w:r w:rsidR="00F82471">
              <w:t xml:space="preserve">comprendre : </w:t>
            </w:r>
          </w:p>
          <w:p w:rsidR="00F82471" w:rsidRDefault="00F82471" w:rsidP="00F82471">
            <w:pPr>
              <w:pStyle w:val="Paragraphedeliste"/>
              <w:numPr>
                <w:ilvl w:val="0"/>
                <w:numId w:val="1"/>
              </w:numPr>
            </w:pPr>
            <w:r>
              <w:t>La lettre</w:t>
            </w:r>
            <w:r w:rsidRPr="00844163">
              <w:rPr>
                <w:rFonts w:ascii="Times New Roman" w:hAnsi="Times New Roman" w:cs="Times New Roman"/>
                <w:b/>
              </w:rPr>
              <w:t xml:space="preserve"> I</w:t>
            </w:r>
            <w:r>
              <w:t xml:space="preserve"> </w:t>
            </w:r>
            <w:r w:rsidR="00537803">
              <w:t>signifi</w:t>
            </w:r>
            <w:r>
              <w:t>e 1</w:t>
            </w:r>
          </w:p>
          <w:p w:rsidR="00F82471" w:rsidRDefault="00F82471" w:rsidP="00F82471">
            <w:pPr>
              <w:pStyle w:val="Paragraphedeliste"/>
              <w:numPr>
                <w:ilvl w:val="0"/>
                <w:numId w:val="1"/>
              </w:numPr>
            </w:pPr>
            <w:r>
              <w:t xml:space="preserve">La lettre </w:t>
            </w:r>
            <w:r w:rsidRPr="00844163">
              <w:rPr>
                <w:rFonts w:ascii="Times New Roman" w:hAnsi="Times New Roman" w:cs="Times New Roman"/>
                <w:b/>
              </w:rPr>
              <w:t>X</w:t>
            </w:r>
            <w:r>
              <w:t xml:space="preserve"> </w:t>
            </w:r>
            <w:r w:rsidR="00537803">
              <w:t>signifie</w:t>
            </w:r>
            <w:r>
              <w:t xml:space="preserve"> 10</w:t>
            </w:r>
          </w:p>
          <w:p w:rsidR="00F82471" w:rsidRDefault="00F82471" w:rsidP="00F82471">
            <w:pPr>
              <w:pStyle w:val="Paragraphedeliste"/>
              <w:numPr>
                <w:ilvl w:val="0"/>
                <w:numId w:val="1"/>
              </w:numPr>
            </w:pPr>
            <w:r>
              <w:t xml:space="preserve">La lettre </w:t>
            </w:r>
            <w:r w:rsidR="00844163" w:rsidRPr="00844163">
              <w:rPr>
                <w:rFonts w:ascii="Times New Roman" w:hAnsi="Times New Roman" w:cs="Times New Roman"/>
                <w:b/>
              </w:rPr>
              <w:t>C</w:t>
            </w:r>
            <w:r w:rsidR="00844163">
              <w:t xml:space="preserve"> </w:t>
            </w:r>
            <w:r w:rsidR="00537803">
              <w:t>signifie</w:t>
            </w:r>
            <w:r w:rsidR="00537803">
              <w:t xml:space="preserve"> </w:t>
            </w:r>
            <w:r w:rsidR="00844163">
              <w:t>100</w:t>
            </w:r>
          </w:p>
          <w:p w:rsidR="00844163" w:rsidRDefault="00844163" w:rsidP="00F82471">
            <w:pPr>
              <w:pStyle w:val="Paragraphedeliste"/>
              <w:numPr>
                <w:ilvl w:val="0"/>
                <w:numId w:val="1"/>
              </w:numPr>
            </w:pPr>
            <w:r>
              <w:t>La lettre</w:t>
            </w:r>
            <w:r w:rsidRPr="00844163">
              <w:rPr>
                <w:rFonts w:ascii="Times New Roman" w:hAnsi="Times New Roman" w:cs="Times New Roman"/>
                <w:b/>
              </w:rPr>
              <w:t xml:space="preserve"> M</w:t>
            </w:r>
            <w:r>
              <w:t xml:space="preserve"> </w:t>
            </w:r>
            <w:r w:rsidR="00537803">
              <w:t>signifie</w:t>
            </w:r>
            <w:r w:rsidR="00537803">
              <w:t xml:space="preserve"> 1 </w:t>
            </w:r>
            <w:r>
              <w:t>000</w:t>
            </w:r>
          </w:p>
          <w:p w:rsidR="00844163" w:rsidRDefault="00844163" w:rsidP="00844163">
            <w:pPr>
              <w:pStyle w:val="Paragraphedeliste"/>
            </w:pPr>
          </w:p>
          <w:p w:rsidR="00844163" w:rsidRPr="00B349D1" w:rsidRDefault="00537803" w:rsidP="00844163">
            <w:pPr>
              <w:pStyle w:val="Paragraphedeliste"/>
            </w:pPr>
            <w:r>
              <w:t>Ainsi</w:t>
            </w:r>
            <w:r w:rsidR="00844163">
              <w:t xml:space="preserve">, le nombre représenté </w:t>
            </w:r>
            <w:r>
              <w:t xml:space="preserve">ici avec les cailloux </w:t>
            </w:r>
            <w:r w:rsidR="00844163">
              <w:t xml:space="preserve">est : </w:t>
            </w:r>
            <w:r w:rsidR="00844163" w:rsidRPr="00844163">
              <w:rPr>
                <w:rFonts w:cs="Times New Roman"/>
                <w:b/>
                <w:sz w:val="24"/>
              </w:rPr>
              <w:t>4 675</w:t>
            </w:r>
          </w:p>
        </w:tc>
      </w:tr>
      <w:tr w:rsidR="00B349D1" w:rsidTr="008F4A78">
        <w:trPr>
          <w:trHeight w:val="4410"/>
        </w:trPr>
        <w:tc>
          <w:tcPr>
            <w:tcW w:w="10916" w:type="dxa"/>
          </w:tcPr>
          <w:p w:rsidR="007A0553" w:rsidRPr="00A72917" w:rsidRDefault="007A0553">
            <w:pPr>
              <w:rPr>
                <w:b/>
                <w:sz w:val="14"/>
              </w:rPr>
            </w:pPr>
          </w:p>
          <w:p w:rsidR="00B349D1" w:rsidRDefault="00C50A98">
            <w:pPr>
              <w:rPr>
                <w:b/>
              </w:rPr>
            </w:pPr>
            <w:r>
              <w:rPr>
                <w:b/>
              </w:rPr>
              <w:t>Fabrique à ton tour un abaque romain (tu peux l’actualiser en écrivant unité, dizaine, centaine…au lieu des lettres</w:t>
            </w:r>
            <w:r w:rsidR="005D2DF2">
              <w:rPr>
                <w:b/>
              </w:rPr>
              <w:t xml:space="preserve"> et te servir de jetons par exemple</w:t>
            </w:r>
            <w:r>
              <w:rPr>
                <w:b/>
              </w:rPr>
              <w:t>) et utilise-le pour :</w:t>
            </w:r>
          </w:p>
          <w:p w:rsidR="00C50A98" w:rsidRDefault="00C50A98">
            <w:pPr>
              <w:rPr>
                <w:b/>
              </w:rPr>
            </w:pPr>
          </w:p>
          <w:p w:rsidR="00C50A98" w:rsidRDefault="00C50A98" w:rsidP="00C50A98">
            <w:pPr>
              <w:pStyle w:val="Paragraphedeliste"/>
              <w:numPr>
                <w:ilvl w:val="0"/>
                <w:numId w:val="1"/>
              </w:numPr>
            </w:pPr>
            <w:r>
              <w:t>Transcrire des nombres écrits avec nos chiffres</w:t>
            </w:r>
          </w:p>
          <w:p w:rsidR="00C50A98" w:rsidRDefault="00C50A98" w:rsidP="00C50A98">
            <w:pPr>
              <w:pStyle w:val="Paragraphedeliste"/>
              <w:numPr>
                <w:ilvl w:val="0"/>
                <w:numId w:val="1"/>
              </w:numPr>
            </w:pPr>
            <w:r>
              <w:t>Faire une dictée de nombre</w:t>
            </w:r>
          </w:p>
          <w:p w:rsidR="00C50A98" w:rsidRDefault="00C50A98" w:rsidP="00C50A98">
            <w:pPr>
              <w:pStyle w:val="Paragraphedeliste"/>
              <w:numPr>
                <w:ilvl w:val="0"/>
                <w:numId w:val="1"/>
              </w:numPr>
            </w:pPr>
            <w:r>
              <w:t>Faire trouver à un camarade les nombres que tu représentes</w:t>
            </w:r>
          </w:p>
          <w:p w:rsidR="00C50A98" w:rsidRDefault="00C50A98" w:rsidP="00C50A98">
            <w:pPr>
              <w:pStyle w:val="Paragraphedeliste"/>
              <w:numPr>
                <w:ilvl w:val="0"/>
                <w:numId w:val="1"/>
              </w:numPr>
            </w:pPr>
            <w:r>
              <w:t>Ranger des nombres représentés par plusieurs camarades</w:t>
            </w:r>
          </w:p>
          <w:p w:rsidR="00C50A98" w:rsidRDefault="00C50A98" w:rsidP="00C50A98">
            <w:pPr>
              <w:pStyle w:val="Paragraphedeliste"/>
              <w:numPr>
                <w:ilvl w:val="0"/>
                <w:numId w:val="1"/>
              </w:numPr>
            </w:pPr>
            <w:r>
              <w:t>Relever des défis : écrire le plus grand n</w:t>
            </w:r>
            <w:r w:rsidR="005D2DF2">
              <w:t>ombre avec 3 cailloux, le plus petit utilisant 2 colonnes et  5 cailloux…</w:t>
            </w:r>
          </w:p>
          <w:p w:rsidR="005D2DF2" w:rsidRDefault="005D2DF2" w:rsidP="00C50A98">
            <w:pPr>
              <w:pStyle w:val="Paragraphedeliste"/>
              <w:numPr>
                <w:ilvl w:val="0"/>
                <w:numId w:val="1"/>
              </w:numPr>
            </w:pPr>
            <w:r>
              <w:t xml:space="preserve">Faire des calculs : exemple 35 + 24 (se lit directement) ; </w:t>
            </w:r>
            <w:r w:rsidR="008F4A78">
              <w:t xml:space="preserve">18 + 34 </w:t>
            </w:r>
            <w:r w:rsidR="001339D8">
              <w:t>(</w:t>
            </w:r>
            <w:r w:rsidR="008F4A78">
              <w:t>oblige à faire des échan</w:t>
            </w:r>
            <w:r w:rsidR="001339D8">
              <w:t xml:space="preserve">ges : </w:t>
            </w:r>
            <w:r w:rsidR="008F4A78">
              <w:t xml:space="preserve">10 cailloux </w:t>
            </w:r>
            <w:r w:rsidR="008F4A78" w:rsidRPr="00185610">
              <w:rPr>
                <w:i/>
              </w:rPr>
              <w:t xml:space="preserve">unité </w:t>
            </w:r>
            <w:r w:rsidR="008F4A78">
              <w:t xml:space="preserve">contre 1 caillou </w:t>
            </w:r>
            <w:r w:rsidR="008F4A78" w:rsidRPr="00185610">
              <w:rPr>
                <w:i/>
              </w:rPr>
              <w:t>dizaine</w:t>
            </w:r>
            <w:r w:rsidR="008F4A78">
              <w:t>, c’est la « retenue ») ; des soustractions (nécessité parfois de faire des échanges dans l’autre sens)</w:t>
            </w:r>
          </w:p>
          <w:p w:rsidR="008F4A78" w:rsidRDefault="008F4A78" w:rsidP="00C50A98">
            <w:pPr>
              <w:pStyle w:val="Paragraphedeliste"/>
              <w:numPr>
                <w:ilvl w:val="0"/>
                <w:numId w:val="1"/>
              </w:numPr>
            </w:pPr>
            <w:r>
              <w:t>Comment faire des multiplications avec cet abaque ?</w:t>
            </w:r>
          </w:p>
          <w:p w:rsidR="008F4A78" w:rsidRDefault="008F4A78" w:rsidP="00C50A98">
            <w:pPr>
              <w:pStyle w:val="Paragraphedeliste"/>
              <w:numPr>
                <w:ilvl w:val="0"/>
                <w:numId w:val="1"/>
              </w:numPr>
            </w:pPr>
            <w:r>
              <w:t>Comment faire des divisions avec cet abaque ?</w:t>
            </w:r>
          </w:p>
          <w:p w:rsidR="008F4A78" w:rsidRDefault="008F4A78" w:rsidP="00C50A98">
            <w:pPr>
              <w:pStyle w:val="Paragraphedeliste"/>
              <w:numPr>
                <w:ilvl w:val="0"/>
                <w:numId w:val="1"/>
              </w:numPr>
            </w:pPr>
            <w:r>
              <w:t>…</w:t>
            </w:r>
          </w:p>
          <w:p w:rsidR="007A0553" w:rsidRDefault="007A0553"/>
        </w:tc>
      </w:tr>
      <w:tr w:rsidR="007A0553" w:rsidTr="00ED1A15">
        <w:tc>
          <w:tcPr>
            <w:tcW w:w="10916" w:type="dxa"/>
          </w:tcPr>
          <w:p w:rsidR="008F4A78" w:rsidRDefault="008F4A78" w:rsidP="008F4A78">
            <w:pPr>
              <w:rPr>
                <w:b/>
              </w:rPr>
            </w:pPr>
            <w:r>
              <w:rPr>
                <w:b/>
              </w:rPr>
              <w:t xml:space="preserve">Tu peux </w:t>
            </w:r>
            <w:r w:rsidR="0004443C">
              <w:rPr>
                <w:b/>
              </w:rPr>
              <w:t>modifier</w:t>
            </w:r>
            <w:r>
              <w:rPr>
                <w:b/>
              </w:rPr>
              <w:t xml:space="preserve"> ton abaque en t’aidant des </w:t>
            </w:r>
            <w:r w:rsidR="0004443C">
              <w:rPr>
                <w:b/>
              </w:rPr>
              <w:t>modèles</w:t>
            </w:r>
            <w:r>
              <w:rPr>
                <w:b/>
              </w:rPr>
              <w:t xml:space="preserve"> suivants :</w:t>
            </w:r>
          </w:p>
          <w:p w:rsidR="008F4A78" w:rsidRDefault="008F4A78" w:rsidP="008F4A78">
            <w:pPr>
              <w:jc w:val="center"/>
              <w:rPr>
                <w:b/>
                <w:sz w:val="10"/>
              </w:rPr>
            </w:pPr>
          </w:p>
          <w:p w:rsidR="008F4A78" w:rsidRDefault="008F4A78" w:rsidP="008F4A78">
            <w:pPr>
              <w:jc w:val="center"/>
              <w:rPr>
                <w:b/>
                <w:sz w:val="1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561"/>
              <w:gridCol w:w="3562"/>
              <w:gridCol w:w="3562"/>
            </w:tblGrid>
            <w:tr w:rsidR="0004443C" w:rsidTr="0004443C">
              <w:tc>
                <w:tcPr>
                  <w:tcW w:w="3561" w:type="dxa"/>
                </w:tcPr>
                <w:p w:rsidR="0004443C" w:rsidRPr="0004443C" w:rsidRDefault="0004443C" w:rsidP="008F4A78">
                  <w:pPr>
                    <w:jc w:val="center"/>
                    <w:rPr>
                      <w:b/>
                      <w:sz w:val="16"/>
                    </w:rPr>
                  </w:pPr>
                  <w:r w:rsidRPr="0004443C">
                    <w:rPr>
                      <w:b/>
                      <w:sz w:val="16"/>
                    </w:rPr>
                    <w:t>Ecrire des nombres plus grands </w:t>
                  </w:r>
                </w:p>
                <w:p w:rsidR="0004443C" w:rsidRPr="0004443C" w:rsidRDefault="0004443C" w:rsidP="008F4A78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04443C" w:rsidRDefault="0004443C" w:rsidP="008F4A78">
                  <w:pPr>
                    <w:jc w:val="center"/>
                    <w:rPr>
                      <w:b/>
                      <w:sz w:val="10"/>
                    </w:rPr>
                  </w:pPr>
                  <w:r w:rsidRPr="0004443C">
                    <w:rPr>
                      <w:b/>
                      <w:sz w:val="16"/>
                    </w:rPr>
                    <w:t xml:space="preserve"> </w:t>
                  </w:r>
                  <w:r w:rsidRPr="0004443C">
                    <w:rPr>
                      <w:b/>
                      <w:sz w:val="18"/>
                    </w:rPr>
                    <w:t>Exemple : 794 675</w:t>
                  </w:r>
                </w:p>
              </w:tc>
              <w:tc>
                <w:tcPr>
                  <w:tcW w:w="3562" w:type="dxa"/>
                </w:tcPr>
                <w:p w:rsidR="0004443C" w:rsidRDefault="0004443C" w:rsidP="008F4A78">
                  <w:pPr>
                    <w:jc w:val="center"/>
                    <w:rPr>
                      <w:b/>
                      <w:sz w:val="16"/>
                    </w:rPr>
                  </w:pPr>
                  <w:r w:rsidRPr="0004443C">
                    <w:rPr>
                      <w:b/>
                      <w:sz w:val="16"/>
                    </w:rPr>
                    <w:t>U</w:t>
                  </w:r>
                  <w:r>
                    <w:rPr>
                      <w:b/>
                      <w:sz w:val="16"/>
                    </w:rPr>
                    <w:t>tiliser moins de cailloux et « voir » plus facilement le nombre de cailloux par colonne </w:t>
                  </w:r>
                </w:p>
                <w:p w:rsidR="0004443C" w:rsidRPr="0004443C" w:rsidRDefault="0004443C" w:rsidP="008F4A78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Exemple : 794 675</w:t>
                  </w:r>
                </w:p>
              </w:tc>
              <w:tc>
                <w:tcPr>
                  <w:tcW w:w="3562" w:type="dxa"/>
                </w:tcPr>
                <w:p w:rsidR="0004443C" w:rsidRDefault="0004443C" w:rsidP="008F4A78">
                  <w:pPr>
                    <w:jc w:val="center"/>
                    <w:rPr>
                      <w:b/>
                      <w:sz w:val="16"/>
                    </w:rPr>
                  </w:pPr>
                  <w:r w:rsidRPr="0004443C">
                    <w:rPr>
                      <w:b/>
                      <w:sz w:val="16"/>
                    </w:rPr>
                    <w:t>Ne plus utiliser de</w:t>
                  </w:r>
                  <w:r>
                    <w:rPr>
                      <w:b/>
                      <w:sz w:val="16"/>
                    </w:rPr>
                    <w:t xml:space="preserve"> cailloux :</w:t>
                  </w:r>
                </w:p>
                <w:p w:rsidR="0004443C" w:rsidRDefault="0004443C" w:rsidP="008F4A78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04443C" w:rsidRPr="0004443C" w:rsidRDefault="0004443C" w:rsidP="008F4A78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8"/>
                    </w:rPr>
                    <w:t xml:space="preserve">Exemple : </w:t>
                  </w:r>
                  <w:r w:rsidRPr="0004443C">
                    <w:rPr>
                      <w:b/>
                      <w:sz w:val="18"/>
                    </w:rPr>
                    <w:t>32 680</w:t>
                  </w:r>
                </w:p>
              </w:tc>
            </w:tr>
            <w:tr w:rsidR="0004443C" w:rsidTr="0004443C">
              <w:tc>
                <w:tcPr>
                  <w:tcW w:w="3561" w:type="dxa"/>
                </w:tcPr>
                <w:p w:rsidR="0004443C" w:rsidRDefault="0004443C" w:rsidP="008F4A78">
                  <w:pPr>
                    <w:jc w:val="center"/>
                    <w:rPr>
                      <w:b/>
                      <w:sz w:val="10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05000" cy="1543050"/>
                        <wp:effectExtent l="19050" t="0" r="0" b="0"/>
                        <wp:docPr id="6" name="Image 3" descr="http://www.icem-pedagogie-freinet.org/sites/default/files/images/BT1138_calcul_romain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icem-pedagogie-freinet.org/sites/default/files/images/BT1138_calcul_romain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62" w:type="dxa"/>
                </w:tcPr>
                <w:p w:rsidR="0004443C" w:rsidRDefault="0004443C" w:rsidP="008F4A78">
                  <w:pPr>
                    <w:jc w:val="center"/>
                    <w:rPr>
                      <w:b/>
                      <w:sz w:val="10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06270" cy="1912620"/>
                        <wp:effectExtent l="19050" t="0" r="0" b="0"/>
                        <wp:docPr id="7" name="Image 1" descr="http://www.icem-pedagogie-freinet.org/sites/default/files/images/BT1138_calcul_romain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icem-pedagogie-freinet.org/sites/default/files/images/BT1138_calcul_romain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912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62" w:type="dxa"/>
                </w:tcPr>
                <w:p w:rsidR="0004443C" w:rsidRDefault="0004443C" w:rsidP="008F4A78">
                  <w:pPr>
                    <w:jc w:val="center"/>
                    <w:rPr>
                      <w:b/>
                      <w:sz w:val="10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05000" cy="1428115"/>
                        <wp:effectExtent l="19050" t="0" r="0" b="0"/>
                        <wp:docPr id="8" name="Image 4" descr="http://www.icem-pedagogie-freinet.org/sites/default/files/images/BT1138_calcul_romain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icem-pedagogie-freinet.org/sites/default/files/images/BT1138_calcul_romain_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4A78" w:rsidRDefault="008F4A78" w:rsidP="008F4A78">
            <w:pPr>
              <w:jc w:val="center"/>
              <w:rPr>
                <w:b/>
                <w:sz w:val="10"/>
              </w:rPr>
            </w:pPr>
          </w:p>
          <w:p w:rsidR="008F4A78" w:rsidRPr="00D254EA" w:rsidRDefault="008F4A78" w:rsidP="0004443C">
            <w:pPr>
              <w:rPr>
                <w:b/>
                <w:sz w:val="10"/>
              </w:rPr>
            </w:pPr>
          </w:p>
        </w:tc>
      </w:tr>
    </w:tbl>
    <w:p w:rsidR="006055C9" w:rsidRDefault="006055C9" w:rsidP="0004443C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39" w:rsidRDefault="00777639" w:rsidP="005E45FC">
      <w:pPr>
        <w:spacing w:after="0" w:line="240" w:lineRule="auto"/>
      </w:pPr>
      <w:r>
        <w:separator/>
      </w:r>
    </w:p>
  </w:endnote>
  <w:endnote w:type="continuationSeparator" w:id="0">
    <w:p w:rsidR="00777639" w:rsidRDefault="00777639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39" w:rsidRDefault="00777639" w:rsidP="005E45FC">
      <w:pPr>
        <w:spacing w:after="0" w:line="240" w:lineRule="auto"/>
      </w:pPr>
      <w:r>
        <w:separator/>
      </w:r>
    </w:p>
  </w:footnote>
  <w:footnote w:type="continuationSeparator" w:id="0">
    <w:p w:rsidR="00777639" w:rsidRDefault="00777639" w:rsidP="005E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28D6"/>
    <w:multiLevelType w:val="hybridMultilevel"/>
    <w:tmpl w:val="B55ACB20"/>
    <w:lvl w:ilvl="0" w:tplc="2528B6F8">
      <w:start w:val="937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32B7E"/>
    <w:rsid w:val="0004443C"/>
    <w:rsid w:val="00081F75"/>
    <w:rsid w:val="001339D8"/>
    <w:rsid w:val="001510E7"/>
    <w:rsid w:val="001555E6"/>
    <w:rsid w:val="001659A2"/>
    <w:rsid w:val="00185610"/>
    <w:rsid w:val="001C6B64"/>
    <w:rsid w:val="00225861"/>
    <w:rsid w:val="0025101D"/>
    <w:rsid w:val="0029603D"/>
    <w:rsid w:val="002A61E7"/>
    <w:rsid w:val="002C3A4F"/>
    <w:rsid w:val="00321280"/>
    <w:rsid w:val="00327C8A"/>
    <w:rsid w:val="00354DBC"/>
    <w:rsid w:val="00427B3C"/>
    <w:rsid w:val="00451FC8"/>
    <w:rsid w:val="004C51A1"/>
    <w:rsid w:val="004D56F9"/>
    <w:rsid w:val="00537803"/>
    <w:rsid w:val="00544DE6"/>
    <w:rsid w:val="0059012A"/>
    <w:rsid w:val="005D2DF2"/>
    <w:rsid w:val="005E45FC"/>
    <w:rsid w:val="005F17FF"/>
    <w:rsid w:val="006055C9"/>
    <w:rsid w:val="00674D7A"/>
    <w:rsid w:val="00693E72"/>
    <w:rsid w:val="006A18CC"/>
    <w:rsid w:val="006A4C67"/>
    <w:rsid w:val="006D7925"/>
    <w:rsid w:val="0070074F"/>
    <w:rsid w:val="00777639"/>
    <w:rsid w:val="00790B3E"/>
    <w:rsid w:val="007A0553"/>
    <w:rsid w:val="00844163"/>
    <w:rsid w:val="008E0978"/>
    <w:rsid w:val="008E30F0"/>
    <w:rsid w:val="008F4A78"/>
    <w:rsid w:val="008F6CA2"/>
    <w:rsid w:val="009B7071"/>
    <w:rsid w:val="00A013E1"/>
    <w:rsid w:val="00A70FD8"/>
    <w:rsid w:val="00A72917"/>
    <w:rsid w:val="00AA293B"/>
    <w:rsid w:val="00AE118B"/>
    <w:rsid w:val="00B13D80"/>
    <w:rsid w:val="00B349D1"/>
    <w:rsid w:val="00B47932"/>
    <w:rsid w:val="00BA1697"/>
    <w:rsid w:val="00BE32CE"/>
    <w:rsid w:val="00BF3F60"/>
    <w:rsid w:val="00C50A98"/>
    <w:rsid w:val="00C523A2"/>
    <w:rsid w:val="00CB453F"/>
    <w:rsid w:val="00CE1C0E"/>
    <w:rsid w:val="00D1288B"/>
    <w:rsid w:val="00D20CF3"/>
    <w:rsid w:val="00D254EA"/>
    <w:rsid w:val="00D4555D"/>
    <w:rsid w:val="00D92D75"/>
    <w:rsid w:val="00DF7B12"/>
    <w:rsid w:val="00E12633"/>
    <w:rsid w:val="00EC2DF2"/>
    <w:rsid w:val="00ED1A15"/>
    <w:rsid w:val="00EE21FE"/>
    <w:rsid w:val="00F11EB5"/>
    <w:rsid w:val="00F154FF"/>
    <w:rsid w:val="00F167DE"/>
    <w:rsid w:val="00F82471"/>
    <w:rsid w:val="00F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94ABF-76A3-4EA9-A7EC-6FEA139F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Creteil</dc:creator>
  <cp:lastModifiedBy>Rectorat de Creteil</cp:lastModifiedBy>
  <cp:revision>2</cp:revision>
  <cp:lastPrinted>2014-01-24T07:34:00Z</cp:lastPrinted>
  <dcterms:created xsi:type="dcterms:W3CDTF">2014-01-26T16:15:00Z</dcterms:created>
  <dcterms:modified xsi:type="dcterms:W3CDTF">2014-01-26T16:15:00Z</dcterms:modified>
</cp:coreProperties>
</file>